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东莞农村商业银行统一域控管理平台项目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市场调研项目需求</w:t>
      </w:r>
    </w:p>
    <w:p>
      <w:pPr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一、项目信息</w:t>
      </w:r>
    </w:p>
    <w:p>
      <w:pPr>
        <w:widowControl/>
        <w:spacing w:line="360" w:lineRule="auto"/>
        <w:ind w:firstLine="420" w:firstLineChars="200"/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</w:pPr>
      <w:r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  <w:t>项目名称：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东莞农村商业银行统一域控管理平台项目</w:t>
      </w:r>
    </w:p>
    <w:p>
      <w:pPr>
        <w:widowControl/>
        <w:spacing w:line="360" w:lineRule="auto"/>
        <w:ind w:firstLine="420" w:firstLineChars="200"/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采购人：东莞农村商业银行股份有限公司</w:t>
      </w:r>
    </w:p>
    <w:p>
      <w:pPr>
        <w:widowControl/>
        <w:spacing w:line="360" w:lineRule="auto"/>
        <w:ind w:firstLine="420" w:firstLineChars="200"/>
        <w:rPr>
          <w:color w:val="auto"/>
          <w:highlight w:val="none"/>
        </w:rPr>
      </w:pPr>
      <w:r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  <w:t>项目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概算</w:t>
      </w:r>
      <w:r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  <w:t>：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人民币约100</w:t>
      </w:r>
      <w:r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  <w:t>万元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（含税）</w:t>
      </w:r>
    </w:p>
    <w:p>
      <w:pPr>
        <w:widowControl/>
        <w:spacing w:line="360" w:lineRule="auto"/>
        <w:ind w:firstLine="420" w:firstLineChars="200"/>
        <w:rPr>
          <w:rFonts w:cs="仿宋_GB2312" w:asciiTheme="minorEastAsia" w:hAnsiTheme="minorEastAsia" w:eastAsiaTheme="minorEastAsia"/>
          <w:bCs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维保服务期：本次咨询的项目</w:t>
      </w:r>
      <w:r>
        <w:rPr>
          <w:rStyle w:val="15"/>
          <w:rFonts w:hint="eastAsia"/>
          <w:color w:val="auto"/>
          <w:highlight w:val="none"/>
        </w:rPr>
        <w:t>带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维保服务期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三年（36个月）</w:t>
      </w:r>
      <w:r>
        <w:rPr>
          <w:rFonts w:hint="eastAsia" w:cs="仿宋_GB2312" w:asciiTheme="minorEastAsia" w:hAnsiTheme="minorEastAsia" w:eastAsiaTheme="minorEastAsia"/>
          <w:bCs/>
          <w:color w:val="auto"/>
          <w:szCs w:val="21"/>
          <w:highlight w:val="none"/>
        </w:rPr>
        <w:t>，以原厂服务承诺函为准。</w:t>
      </w:r>
    </w:p>
    <w:p>
      <w:pPr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二</w:t>
      </w:r>
      <w:r>
        <w:rPr>
          <w:rFonts w:ascii="宋体" w:hAnsi="宋体"/>
          <w:b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color w:val="auto"/>
          <w:szCs w:val="21"/>
          <w:highlight w:val="none"/>
        </w:rPr>
        <w:t>项目背景</w:t>
      </w:r>
      <w:bookmarkStart w:id="0" w:name="_GoBack"/>
      <w:bookmarkEnd w:id="0"/>
    </w:p>
    <w:p>
      <w:pPr>
        <w:spacing w:line="580" w:lineRule="exact"/>
        <w:ind w:firstLine="630" w:firstLineChars="3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为了实现windows、统信、麒麟桌面操作系统域控的统一管理，提高终端安全运维水平，现开展统一域控管理平台建设项目市场调研</w:t>
      </w:r>
      <w:r>
        <w:rPr>
          <w:rFonts w:hint="eastAsia" w:ascii="宋体" w:hAnsi="宋体"/>
          <w:color w:val="auto"/>
          <w:szCs w:val="21"/>
          <w:highlight w:val="none"/>
        </w:rPr>
        <w:t>，欢迎愿意参加本项目市场调研的潜在供应商（本次项目需求的供应商指产品制造商），提供市场调研资料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spacing w:line="580" w:lineRule="exac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三</w:t>
      </w:r>
      <w:r>
        <w:rPr>
          <w:rFonts w:ascii="宋体" w:hAnsi="宋体"/>
          <w:b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咨询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内容</w:t>
      </w:r>
    </w:p>
    <w:p>
      <w:pPr>
        <w:spacing w:line="580" w:lineRule="exact"/>
        <w:ind w:firstLine="630" w:firstLineChars="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次咨询的系统是指统一域控管理平台系统，用于windows、统信、麒麟桌面操作系统域控的统一管理，具有跨平台域控服务纳管功能、用户、组织机构信息同步、组策略配置、终端管理、资产管理、备份恢复、报表等功能。</w:t>
      </w:r>
    </w:p>
    <w:p>
      <w:pPr>
        <w:spacing w:line="580" w:lineRule="exact"/>
        <w:ind w:firstLine="210" w:firstLineChars="100"/>
        <w:rPr>
          <w:rFonts w:cs="楷体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楷体_GB2312" w:asciiTheme="minorEastAsia" w:hAnsiTheme="minorEastAsia" w:eastAsiaTheme="minorEastAsia"/>
          <w:color w:val="auto"/>
          <w:szCs w:val="21"/>
          <w:highlight w:val="none"/>
        </w:rPr>
        <w:t>（一）</w:t>
      </w:r>
      <w:r>
        <w:rPr>
          <w:rFonts w:hint="eastAsia" w:ascii="宋体" w:hAnsi="宋体"/>
          <w:color w:val="auto"/>
          <w:szCs w:val="21"/>
          <w:highlight w:val="none"/>
        </w:rPr>
        <w:t>统一域控管理平台系统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业务需求如下：</w:t>
      </w:r>
    </w:p>
    <w:tbl>
      <w:tblPr>
        <w:tblStyle w:val="11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134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9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</w:rPr>
              <w:t>类型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</w:rPr>
              <w:t>功能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auto"/>
                <w:kern w:val="0"/>
                <w:szCs w:val="21"/>
                <w:highlight w:val="none"/>
              </w:rPr>
              <w:t>需求说明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产品（系统）功能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跨平台域控服务纳管功能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color w:val="auto"/>
                <w:szCs w:val="21"/>
                <w:highlight w:val="none"/>
              </w:rPr>
              <w:t>对不同操作系统的域控进行集中管理，支持对windows、麒麟、统信域控管理系统进行纳管。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用户、组织机构信息同步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可通过接口从用户管理源系统获取用户、机构信息，并同步至所纳管的域控系统。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组策略配置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可集中配置、下发组策略到windows、麒麟、统信域控服务器。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终端管理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可对已纳管的windows、麒麟、统信域控下的终端进行点对点管理。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资产管理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能够对纳管的设备进行统计，提供查询功能。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备份恢复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系统支持配置信息的备份与快速恢复功能。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报表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能够灵活生成资产、策略、用户等各类报表。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产品（系统）非功能性需求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高可用要求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系统应支持高可用架构。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安全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系统具有完备的信息安全保障机制。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实施内容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系统对接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与行内办公系统、监控系统等进行对接。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二次开发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根据项目具体需求实现系统功能。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培训</w:t>
            </w:r>
          </w:p>
        </w:tc>
        <w:tc>
          <w:tcPr>
            <w:tcW w:w="65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对行方员工进行相关开发与运维技术培训。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四、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项目总体服务要求</w:t>
      </w:r>
    </w:p>
    <w:p>
      <w:pPr>
        <w:spacing w:line="360" w:lineRule="auto"/>
        <w:ind w:firstLine="422" w:firstLineChars="200"/>
        <w:rPr>
          <w:rFonts w:cs="楷体_GB2312" w:asciiTheme="minorEastAsia" w:hAnsiTheme="minorEastAsia" w:eastAsiaTheme="minorEastAsia"/>
          <w:b/>
          <w:bCs/>
          <w:color w:val="auto"/>
          <w:kern w:val="28"/>
          <w:szCs w:val="21"/>
          <w:highlight w:val="none"/>
        </w:rPr>
      </w:pPr>
      <w:r>
        <w:rPr>
          <w:rFonts w:hint="eastAsia" w:cs="楷体_GB2312" w:asciiTheme="minorEastAsia" w:hAnsiTheme="minorEastAsia" w:eastAsiaTheme="minorEastAsia"/>
          <w:b/>
          <w:bCs/>
          <w:color w:val="auto"/>
          <w:kern w:val="28"/>
          <w:szCs w:val="21"/>
          <w:highlight w:val="none"/>
        </w:rPr>
        <w:t>（一）维保服务期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本次咨询的项目带维保服务期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三年（36个月）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，以原厂服务承诺函为准，在签订合同后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30日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内将产品运抵采购人指定交货地点。</w:t>
      </w:r>
    </w:p>
    <w:p>
      <w:pPr>
        <w:spacing w:line="360" w:lineRule="auto"/>
        <w:ind w:firstLine="422" w:firstLineChars="200"/>
        <w:rPr>
          <w:rFonts w:cs="楷体_GB2312" w:asciiTheme="minorEastAsia" w:hAnsiTheme="minorEastAsia" w:eastAsiaTheme="minorEastAsia"/>
          <w:b/>
          <w:bCs/>
          <w:color w:val="auto"/>
          <w:kern w:val="28"/>
          <w:szCs w:val="21"/>
          <w:highlight w:val="none"/>
        </w:rPr>
      </w:pPr>
      <w:r>
        <w:rPr>
          <w:rFonts w:hint="eastAsia" w:cs="楷体_GB2312" w:asciiTheme="minorEastAsia" w:hAnsiTheme="minorEastAsia" w:eastAsiaTheme="minorEastAsia"/>
          <w:b/>
          <w:bCs/>
          <w:color w:val="auto"/>
          <w:kern w:val="28"/>
          <w:szCs w:val="21"/>
          <w:highlight w:val="none"/>
        </w:rPr>
        <w:t>（二）服务说明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所有服务内容必须由原厂提供，供应商配合协调相关资源。包括提供原厂技术工程师、原厂支援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、原厂备件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等。</w:t>
      </w:r>
    </w:p>
    <w:p>
      <w:pPr>
        <w:spacing w:line="360" w:lineRule="auto"/>
        <w:ind w:firstLine="422" w:firstLineChars="200"/>
        <w:rPr>
          <w:rFonts w:cs="楷体_GB2312" w:asciiTheme="minorEastAsia" w:hAnsiTheme="minorEastAsia" w:eastAsiaTheme="minorEastAsia"/>
          <w:b/>
          <w:bCs/>
          <w:color w:val="auto"/>
          <w:kern w:val="28"/>
          <w:szCs w:val="21"/>
          <w:highlight w:val="none"/>
        </w:rPr>
      </w:pPr>
      <w:r>
        <w:rPr>
          <w:rFonts w:hint="eastAsia" w:cs="楷体_GB2312" w:asciiTheme="minorEastAsia" w:hAnsiTheme="minorEastAsia" w:eastAsiaTheme="minorEastAsia"/>
          <w:b/>
          <w:bCs/>
          <w:color w:val="auto"/>
          <w:kern w:val="28"/>
          <w:szCs w:val="21"/>
          <w:highlight w:val="none"/>
        </w:rPr>
        <w:t>（三）服务内容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安装与实施服务。软件到货后进行安装、规划、调试、测试、优化、升级等工作，满足采购人对设备上线运行的要求。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常规维保服务。包括保障软件正常运行、保障采购人业务稳定的一切服务。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巡检服务。提供每年4次现场巡检服务，具体巡检时间由采购人确定。巡检须派经验丰富的原厂工程师进行预防性检查维护，对配置进行检查，分析系统告警信息并提出整改方案，按采购人要求出具巡检报告、整改方案等文档并负责整改实施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升级服务。针对产品缺陷或根据采购人要求为软件免费升级和补丁更新，保证用户能够及时获得相关服务和技术文档的更新。技术文档包括操作手册、产品说明、系统架构、应急处理、规章制度等。如产品出现重大缺陷时，须主动告知采购人升级或应对措施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咨询服务。采购人可随时向供应商或原厂进行技术咨询。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应急服务。提供每周7×24小时专人应急服务电话。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现场服务。按需提供技术人员现场支援的服务。工程师要保持相对的稳定性。在采购人场所工作时，技术人员应遵守采购人相应的规章制度。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重点时期现场保障服务。重要节假日（五一、国庆、中秋、春节等）和重要时期（网络攻防演练、上级现场监管检查等）提供专业技术人员现场保障和协助的服务，协助采购人防守、加固、溯源和分析等工作。</w:t>
      </w:r>
    </w:p>
    <w:p>
      <w:pPr>
        <w:spacing w:line="360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五、供应商（产品制造商）要求</w:t>
      </w:r>
    </w:p>
    <w:p>
      <w:pPr>
        <w:tabs>
          <w:tab w:val="left" w:pos="0"/>
        </w:tabs>
        <w:spacing w:line="360" w:lineRule="auto"/>
        <w:rPr>
          <w:rFonts w:cs="仿宋_GB2312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（一）供应商具备独立法人资格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。</w:t>
      </w:r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（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）供应商提供的产品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应具有3个银行或金融行业案例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，在反馈《</w:t>
      </w:r>
      <w:r>
        <w:rPr>
          <w:rFonts w:hint="eastAsia" w:cs="仿宋_GB2312" w:asciiTheme="minorEastAsia" w:hAnsiTheme="minorEastAsia" w:eastAsiaTheme="minorEastAsia"/>
          <w:b/>
          <w:color w:val="auto"/>
          <w:szCs w:val="21"/>
          <w:highlight w:val="none"/>
        </w:rPr>
        <w:t>市场调研记录表</w:t>
      </w:r>
      <w:r>
        <w:rPr>
          <w:rFonts w:hint="eastAsia" w:cs="仿宋_GB2312" w:asciiTheme="minorEastAsia" w:hAnsiTheme="minorEastAsia" w:eastAsiaTheme="minorEastAsia"/>
          <w:color w:val="auto"/>
          <w:szCs w:val="21"/>
          <w:highlight w:val="none"/>
        </w:rPr>
        <w:t>》时应提供相关合同复印件。</w:t>
      </w:r>
    </w:p>
    <w:sectPr>
      <w:foot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017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EBA44"/>
    <w:multiLevelType w:val="singleLevel"/>
    <w:tmpl w:val="F3DEBA4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jc4ZDJkZmEzOTE2YTRiYjg0YzNlODA5MjY1ODIifQ=="/>
  </w:docVars>
  <w:rsids>
    <w:rsidRoot w:val="009F2FB4"/>
    <w:rsid w:val="00041D24"/>
    <w:rsid w:val="000D3882"/>
    <w:rsid w:val="000E6541"/>
    <w:rsid w:val="000F4946"/>
    <w:rsid w:val="00115306"/>
    <w:rsid w:val="00115BC4"/>
    <w:rsid w:val="00172DB2"/>
    <w:rsid w:val="001C2DAC"/>
    <w:rsid w:val="001D4644"/>
    <w:rsid w:val="001E7CB5"/>
    <w:rsid w:val="00255AEA"/>
    <w:rsid w:val="0026628E"/>
    <w:rsid w:val="002B7344"/>
    <w:rsid w:val="002C13F5"/>
    <w:rsid w:val="002E69AE"/>
    <w:rsid w:val="003000DE"/>
    <w:rsid w:val="003161EC"/>
    <w:rsid w:val="003425BD"/>
    <w:rsid w:val="00372F3B"/>
    <w:rsid w:val="003900F9"/>
    <w:rsid w:val="004B3E2C"/>
    <w:rsid w:val="0052378B"/>
    <w:rsid w:val="0058010C"/>
    <w:rsid w:val="005E0F22"/>
    <w:rsid w:val="00657D6E"/>
    <w:rsid w:val="0067085A"/>
    <w:rsid w:val="0067708D"/>
    <w:rsid w:val="00683ADB"/>
    <w:rsid w:val="00684671"/>
    <w:rsid w:val="00697DF5"/>
    <w:rsid w:val="006B282D"/>
    <w:rsid w:val="006E028B"/>
    <w:rsid w:val="00755FE0"/>
    <w:rsid w:val="007C1E65"/>
    <w:rsid w:val="007C4B35"/>
    <w:rsid w:val="007D1572"/>
    <w:rsid w:val="00812356"/>
    <w:rsid w:val="00833E0B"/>
    <w:rsid w:val="00834783"/>
    <w:rsid w:val="00876154"/>
    <w:rsid w:val="008E739F"/>
    <w:rsid w:val="008F5664"/>
    <w:rsid w:val="00906BCA"/>
    <w:rsid w:val="00932867"/>
    <w:rsid w:val="00932D28"/>
    <w:rsid w:val="00955B58"/>
    <w:rsid w:val="00967333"/>
    <w:rsid w:val="009C139A"/>
    <w:rsid w:val="009C6873"/>
    <w:rsid w:val="009F2FB4"/>
    <w:rsid w:val="009F5DB2"/>
    <w:rsid w:val="00AF0288"/>
    <w:rsid w:val="00AF5E80"/>
    <w:rsid w:val="00AF7968"/>
    <w:rsid w:val="00B71931"/>
    <w:rsid w:val="00BB0D09"/>
    <w:rsid w:val="00BB432E"/>
    <w:rsid w:val="00BD79AF"/>
    <w:rsid w:val="00BE0E5C"/>
    <w:rsid w:val="00C046DA"/>
    <w:rsid w:val="00C15B9E"/>
    <w:rsid w:val="00C479E2"/>
    <w:rsid w:val="00C707AE"/>
    <w:rsid w:val="00CD62A6"/>
    <w:rsid w:val="00CE7C21"/>
    <w:rsid w:val="00D809E5"/>
    <w:rsid w:val="00DA0CD7"/>
    <w:rsid w:val="00DD11BD"/>
    <w:rsid w:val="00E751AB"/>
    <w:rsid w:val="00FC1A73"/>
    <w:rsid w:val="00FC204D"/>
    <w:rsid w:val="00FC3DC7"/>
    <w:rsid w:val="00FE62F0"/>
    <w:rsid w:val="00FE706B"/>
    <w:rsid w:val="07BF7ABB"/>
    <w:rsid w:val="09BB78D2"/>
    <w:rsid w:val="0C6C3520"/>
    <w:rsid w:val="170B3BD9"/>
    <w:rsid w:val="19CF019F"/>
    <w:rsid w:val="249A046C"/>
    <w:rsid w:val="405D66F8"/>
    <w:rsid w:val="41A31322"/>
    <w:rsid w:val="452B449A"/>
    <w:rsid w:val="496574B5"/>
    <w:rsid w:val="52097D65"/>
    <w:rsid w:val="52392F36"/>
    <w:rsid w:val="60BB355D"/>
    <w:rsid w:val="64FF6CA9"/>
    <w:rsid w:val="663B7EF9"/>
    <w:rsid w:val="6B764C86"/>
    <w:rsid w:val="6EC766B7"/>
    <w:rsid w:val="793754B3"/>
    <w:rsid w:val="7AAE44AA"/>
    <w:rsid w:val="7F8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6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2"/>
    <w:qFormat/>
    <w:uiPriority w:val="0"/>
    <w:pPr>
      <w:spacing w:after="120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rFonts w:cs="Times New Roman"/>
      <w:sz w:val="21"/>
      <w:szCs w:val="21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17">
    <w:name w:val="样式4"/>
    <w:basedOn w:val="1"/>
    <w:qFormat/>
    <w:uiPriority w:val="0"/>
    <w:pPr>
      <w:tabs>
        <w:tab w:val="left" w:pos="2328"/>
      </w:tabs>
      <w:ind w:left="2328" w:hanging="708"/>
    </w:pPr>
  </w:style>
  <w:style w:type="character" w:customStyle="1" w:styleId="18">
    <w:name w:val="页眉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2">
    <w:name w:val="正文文本 字符"/>
    <w:basedOn w:val="13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25">
    <w:name w:val="批注框文本 字符"/>
    <w:basedOn w:val="13"/>
    <w:link w:val="6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6">
    <w:name w:val="正文缩进 字符"/>
    <w:link w:val="2"/>
    <w:qFormat/>
    <w:uiPriority w:val="0"/>
    <w:rPr>
      <w:rFonts w:ascii="Calibri" w:hAnsi="Calibri" w:eastAsia="宋体"/>
      <w:kern w:val="2"/>
      <w:sz w:val="21"/>
      <w:szCs w:val="24"/>
    </w:rPr>
  </w:style>
  <w:style w:type="paragraph" w:customStyle="1" w:styleId="27">
    <w:name w:val="正文cl"/>
    <w:basedOn w:val="1"/>
    <w:qFormat/>
    <w:uiPriority w:val="0"/>
    <w:pPr>
      <w:snapToGrid w:val="0"/>
      <w:spacing w:line="360" w:lineRule="auto"/>
      <w:ind w:firstLine="600" w:firstLineChars="200"/>
    </w:pPr>
    <w:rPr>
      <w:rFonts w:ascii="Tahoma" w:hAnsi="Tahoma" w:eastAsia="仿宋_GB2312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1436</Words>
  <Characters>1472</Characters>
  <Lines>11</Lines>
  <Paragraphs>3</Paragraphs>
  <TotalTime>12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2023-04-27T09:53:00Z</dcterms:created>
  <dc:creator>User</dc:creator>
  <cp:lastModifiedBy>lulu</cp:lastModifiedBy>
  <dcterms:modified xsi:type="dcterms:W3CDTF">2023-05-30T02:41:17Z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205B0A8DE40449AABFD77DC5085B80D2</vt:lpwstr>
  </property>
</Properties>
</file>